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5403" w14:textId="77777777" w:rsidR="007138D9" w:rsidRPr="004E3D16" w:rsidRDefault="007138D9" w:rsidP="00996725">
      <w:pPr>
        <w:rPr>
          <w:rFonts w:ascii="Arial" w:hAnsi="Arial" w:cs="Arial"/>
          <w:b/>
          <w:bCs/>
          <w:sz w:val="27"/>
          <w:szCs w:val="27"/>
          <w:u w:val="single"/>
          <w:lang w:val="es-VE"/>
        </w:rPr>
      </w:pPr>
    </w:p>
    <w:p w14:paraId="37ACC6BD" w14:textId="77777777" w:rsidR="00DC3541" w:rsidRPr="004E3D16" w:rsidRDefault="00000000">
      <w:pPr>
        <w:rPr>
          <w:rFonts w:ascii="Arial" w:hAnsi="Arial" w:cs="Arial"/>
          <w:b/>
          <w:bCs/>
          <w:sz w:val="27"/>
          <w:szCs w:val="27"/>
          <w:u w:val="single"/>
          <w:lang w:val="es-VE"/>
        </w:rPr>
      </w:pPr>
      <w:r w:rsidRPr="004E3D16">
        <w:rPr>
          <w:rFonts w:ascii="Arial" w:hAnsi="Arial" w:cs="Arial"/>
          <w:b/>
          <w:bCs/>
          <w:sz w:val="27"/>
          <w:szCs w:val="27"/>
          <w:u w:val="single"/>
          <w:lang w:val="es-VE"/>
        </w:rPr>
        <w:t xml:space="preserve">Lista de control para la gestión de asociaciones </w:t>
      </w:r>
    </w:p>
    <w:p w14:paraId="7A511DB8" w14:textId="77777777" w:rsidR="00DC3541" w:rsidRDefault="00000000">
      <w:pPr>
        <w:rPr>
          <w:rFonts w:ascii="Arial" w:hAnsi="Arial" w:cs="Arial"/>
        </w:rPr>
      </w:pPr>
      <w:r w:rsidRPr="00EB33B9">
        <w:rPr>
          <w:rFonts w:ascii="Arial" w:hAnsi="Arial" w:cs="Arial"/>
        </w:rPr>
        <w:t>Adaptación de la "Informationsblatt für Operationelle Gruppen in der Gründungsphase" (© BLE 2023)</w:t>
      </w:r>
    </w:p>
    <w:p w14:paraId="14EE0C9D" w14:textId="77777777" w:rsidR="00DC3541" w:rsidRPr="004E3D16" w:rsidRDefault="00000000">
      <w:pPr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lang w:val="es-VE"/>
        </w:rPr>
        <w:t xml:space="preserve">La descarga está disponible aquí: </w:t>
      </w:r>
      <w:hyperlink r:id="rId8" w:history="1">
        <w:r w:rsidRPr="004E3D16">
          <w:rPr>
            <w:rStyle w:val="Hyperlink"/>
            <w:rFonts w:ascii="Arial" w:hAnsi="Arial" w:cs="Arial"/>
            <w:lang w:val="es-VE"/>
          </w:rPr>
          <w:t>https://www.ilb.de/media/dokumente/dokumente-fuer-programme/dokumente-mit-programmzuordnung/wirtschaft/zuschuesse/europaeische-innovationspartnerschaft-eip-2024/informationsblatt-dvs-fuer_og_rl-eip-2024.pdf</w:t>
        </w:r>
      </w:hyperlink>
    </w:p>
    <w:p w14:paraId="0B66A4C0" w14:textId="77777777" w:rsidR="00996725" w:rsidRPr="004E3D16" w:rsidRDefault="00996725" w:rsidP="00996725">
      <w:pPr>
        <w:rPr>
          <w:rFonts w:ascii="Arial" w:hAnsi="Arial" w:cs="Arial"/>
          <w:b/>
          <w:bCs/>
          <w:sz w:val="27"/>
          <w:szCs w:val="27"/>
          <w:lang w:val="es-VE"/>
        </w:rPr>
      </w:pPr>
    </w:p>
    <w:p w14:paraId="7BCB18B0" w14:textId="77777777" w:rsidR="00DC3541" w:rsidRDefault="00000000">
      <w:pPr>
        <w:rPr>
          <w:rFonts w:ascii="Arial" w:hAnsi="Arial" w:cs="Arial"/>
          <w:b/>
          <w:bCs/>
          <w:sz w:val="27"/>
          <w:szCs w:val="27"/>
          <w:lang w:val="en-US"/>
        </w:rPr>
      </w:pPr>
      <w:r w:rsidRPr="00EB33B9">
        <w:rPr>
          <w:rFonts w:ascii="Arial" w:hAnsi="Arial" w:cs="Arial"/>
          <w:b/>
          <w:bCs/>
          <w:sz w:val="27"/>
          <w:szCs w:val="27"/>
          <w:lang w:val="en-US"/>
        </w:rPr>
        <w:t xml:space="preserve">1. Proyecto de innovación </w:t>
      </w:r>
    </w:p>
    <w:p w14:paraId="397F07F5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Comprensión de los objetivos del proyecto </w:t>
      </w:r>
      <w:r w:rsidRPr="004E3D16">
        <w:rPr>
          <w:rFonts w:ascii="Arial" w:hAnsi="Arial" w:cs="Arial"/>
          <w:b/>
          <w:bCs/>
          <w:lang w:val="es-VE"/>
        </w:rPr>
        <w:br/>
      </w:r>
      <w:r w:rsidRPr="002841E7">
        <w:rPr>
          <w:rFonts w:ascii="Arial" w:hAnsi="Arial" w:cs="Arial"/>
          <w:b/>
          <w:bCs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¿Existe una comprensión común del objetivo del proyecto? ¿Cómo puede evaluarse la consecución del objetivo hasta la fecha? </w:t>
      </w:r>
      <w:r w:rsidRPr="004E3D16">
        <w:rPr>
          <w:rFonts w:ascii="Arial" w:hAnsi="Arial" w:cs="Arial"/>
          <w:lang w:val="es-VE"/>
        </w:rPr>
        <w:br/>
      </w:r>
    </w:p>
    <w:p w14:paraId="59610AC2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Calendario </w:t>
      </w:r>
      <w:r w:rsidRPr="004E3D16">
        <w:rPr>
          <w:rFonts w:ascii="Arial" w:hAnsi="Arial" w:cs="Arial"/>
          <w:b/>
          <w:bCs/>
          <w:lang w:val="es-VE"/>
        </w:rPr>
        <w:br/>
      </w:r>
      <w:r w:rsidRPr="002841E7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¿Está prevista la ejecución del proyecto en el calendario</w:t>
      </w:r>
      <w:r w:rsidRPr="004E3D16">
        <w:rPr>
          <w:rFonts w:ascii="Arial" w:hAnsi="Arial" w:cs="Arial"/>
          <w:lang w:val="es-VE"/>
        </w:rPr>
        <w:br/>
        <w:t xml:space="preserve">? </w:t>
      </w:r>
    </w:p>
    <w:p w14:paraId="7AE69CA0" w14:textId="77777777" w:rsidR="00DC3541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lang w:val="en-GB"/>
        </w:rPr>
      </w:pPr>
      <w:r w:rsidRPr="004E3D16">
        <w:rPr>
          <w:rFonts w:ascii="Arial" w:hAnsi="Arial" w:cs="Arial"/>
          <w:b/>
          <w:bCs/>
          <w:lang w:val="es-VE"/>
        </w:rPr>
        <w:t xml:space="preserve">Previsión de costes </w:t>
      </w:r>
      <w:r w:rsidRPr="004E3D16">
        <w:rPr>
          <w:rFonts w:ascii="Arial" w:hAnsi="Arial" w:cs="Arial"/>
          <w:b/>
          <w:bCs/>
          <w:lang w:val="es-VE"/>
        </w:rPr>
        <w:br/>
      </w:r>
      <w:r w:rsidRPr="002841E7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han calculado correctamente los costes de antemano? </w:t>
      </w:r>
      <w:r w:rsidRPr="002841E7">
        <w:rPr>
          <w:rFonts w:ascii="Arial" w:hAnsi="Arial" w:cs="Arial"/>
          <w:lang w:val="en-GB"/>
        </w:rPr>
        <w:t xml:space="preserve">¿Se ajusta el proyecto a la </w:t>
      </w:r>
      <w:r>
        <w:rPr>
          <w:rFonts w:ascii="Arial" w:hAnsi="Arial" w:cs="Arial"/>
          <w:lang w:val="en-GB"/>
        </w:rPr>
        <w:t xml:space="preserve">proyección de </w:t>
      </w:r>
      <w:r w:rsidRPr="002841E7">
        <w:rPr>
          <w:rFonts w:ascii="Arial" w:hAnsi="Arial" w:cs="Arial"/>
          <w:lang w:val="en-GB"/>
        </w:rPr>
        <w:t>costes?</w:t>
      </w:r>
      <w:r>
        <w:rPr>
          <w:rFonts w:ascii="Arial" w:hAnsi="Arial" w:cs="Arial"/>
          <w:lang w:val="en-GB"/>
        </w:rPr>
        <w:br/>
      </w:r>
    </w:p>
    <w:p w14:paraId="7C139265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Aplicación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¿Existen obstáculos prácticos o administrativos en el trabajo del proyecto?</w:t>
      </w:r>
      <w:r w:rsidRPr="004E3D16">
        <w:rPr>
          <w:rFonts w:ascii="Arial" w:hAnsi="Arial" w:cs="Arial"/>
          <w:lang w:val="es-VE"/>
        </w:rPr>
        <w:br/>
      </w:r>
    </w:p>
    <w:p w14:paraId="15E418AA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Riesgos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conocen y pueden gestionarse los riesgos asociados al proyecto de innovación y a su ejecución? </w:t>
      </w:r>
      <w:r w:rsidRPr="004E3D16">
        <w:rPr>
          <w:rFonts w:ascii="Arial" w:hAnsi="Arial" w:cs="Arial"/>
          <w:lang w:val="es-VE"/>
        </w:rPr>
        <w:br/>
      </w:r>
    </w:p>
    <w:p w14:paraId="6A9301DB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Utilización interna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beneficia cada socio del Grupo Operativo (GO) de la ejecución del proyecto de innovación? ¿La relación "toma y daca" de los socios es adecuada?</w:t>
      </w:r>
      <w:r w:rsidRPr="004E3D16">
        <w:rPr>
          <w:rFonts w:ascii="Arial" w:hAnsi="Arial" w:cs="Arial"/>
          <w:lang w:val="es-VE"/>
        </w:rPr>
        <w:br/>
      </w:r>
    </w:p>
    <w:p w14:paraId="24BB0F11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Relevancia práctica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tiene suficientemente en cuenta la relevancia práctica de la aplicación del proyecto de innovación? ¿Qué papel desempeñan en ello los socios de la práctica? </w:t>
      </w:r>
      <w:r w:rsidRPr="004E3D16">
        <w:rPr>
          <w:rFonts w:ascii="Arial" w:hAnsi="Arial" w:cs="Arial"/>
          <w:lang w:val="es-VE"/>
        </w:rPr>
        <w:br/>
      </w:r>
    </w:p>
    <w:p w14:paraId="373DD738" w14:textId="77777777" w:rsidR="00DC3541" w:rsidRPr="004E3D16" w:rsidRDefault="0000000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>Uso externo</w:t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¿Están suficientemente definidos los usos potenciales de los resultados del proyecto de innovación (por ejemplo, nuevos productos, procesos o tecnologías)? ¿Cómo evalúa los beneficios prácticos de los resultados obtenidos hasta la fecha?</w:t>
      </w:r>
    </w:p>
    <w:p w14:paraId="5A76433A" w14:textId="77777777" w:rsidR="00996725" w:rsidRPr="004E3D16" w:rsidRDefault="00996725">
      <w:pPr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lang w:val="es-VE"/>
        </w:rPr>
        <w:br w:type="page"/>
      </w:r>
    </w:p>
    <w:p w14:paraId="05FDF7A4" w14:textId="77777777" w:rsidR="007138D9" w:rsidRPr="004E3D16" w:rsidRDefault="007138D9" w:rsidP="00996725">
      <w:pPr>
        <w:rPr>
          <w:rFonts w:ascii="Arial" w:hAnsi="Arial" w:cs="Arial"/>
          <w:b/>
          <w:bCs/>
          <w:sz w:val="27"/>
          <w:szCs w:val="27"/>
          <w:lang w:val="es-VE"/>
        </w:rPr>
      </w:pPr>
    </w:p>
    <w:p w14:paraId="7B1213CF" w14:textId="77777777" w:rsidR="00DC3541" w:rsidRPr="004E3D16" w:rsidRDefault="00000000">
      <w:pPr>
        <w:rPr>
          <w:rFonts w:ascii="Arial" w:hAnsi="Arial" w:cs="Arial"/>
          <w:b/>
          <w:bCs/>
          <w:sz w:val="27"/>
          <w:szCs w:val="27"/>
          <w:lang w:val="es-VE"/>
        </w:rPr>
      </w:pPr>
      <w:r w:rsidRPr="004E3D16">
        <w:rPr>
          <w:rFonts w:ascii="Arial" w:hAnsi="Arial" w:cs="Arial"/>
          <w:b/>
          <w:bCs/>
          <w:sz w:val="27"/>
          <w:szCs w:val="27"/>
          <w:lang w:val="es-VE"/>
        </w:rPr>
        <w:t>2. Cooperación en el Grupo Operativo (GO)</w:t>
      </w:r>
    </w:p>
    <w:p w14:paraId="7F8EE61B" w14:textId="77777777" w:rsidR="00DC3541" w:rsidRPr="004E3D16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Normas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¿Existen normas, estructuras y responsabilidades claras para la cooperación en las OG y han demostrado su eficacia hasta la fecha? </w:t>
      </w:r>
      <w:r w:rsidRPr="004E3D16">
        <w:rPr>
          <w:rFonts w:ascii="Arial" w:hAnsi="Arial" w:cs="Arial"/>
          <w:lang w:val="es-VE"/>
        </w:rPr>
        <w:br/>
      </w:r>
    </w:p>
    <w:p w14:paraId="281E8808" w14:textId="77777777" w:rsidR="00DC3541" w:rsidRPr="004E3D16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Trabajo en equipo </w:t>
      </w:r>
      <w:r w:rsidRPr="004E3D16">
        <w:rPr>
          <w:rFonts w:ascii="Arial" w:hAnsi="Arial" w:cs="Arial"/>
          <w:b/>
          <w:bCs/>
          <w:lang w:val="es-VE"/>
        </w:rPr>
        <w:br/>
      </w:r>
      <w:r w:rsidRPr="00006239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entienden los OG como un equipo y trabajan juntos? ¿Hay buena química en los JJ.OO.? ¿Estás satisfecho con el trabajo en equipo de los JJ.OO. hasta ahora? </w:t>
      </w:r>
      <w:r w:rsidRPr="004E3D16">
        <w:rPr>
          <w:rFonts w:ascii="Arial" w:hAnsi="Arial" w:cs="Arial"/>
          <w:lang w:val="es-VE"/>
        </w:rPr>
        <w:br/>
      </w:r>
    </w:p>
    <w:p w14:paraId="365555E0" w14:textId="77777777" w:rsidR="00DC3541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n-GB"/>
        </w:rPr>
      </w:pPr>
      <w:r w:rsidRPr="004E3D16">
        <w:rPr>
          <w:rFonts w:ascii="Arial" w:hAnsi="Arial" w:cs="Arial"/>
          <w:b/>
          <w:bCs/>
          <w:lang w:val="es-VE"/>
        </w:rPr>
        <w:t xml:space="preserve">Comunicación interna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¿Cuál es la calidad del intercambio de información en las OG? ¿Se facilita la información a tiempo y en la medida adecuada? </w:t>
      </w:r>
      <w:r>
        <w:rPr>
          <w:rFonts w:ascii="Arial" w:hAnsi="Arial" w:cs="Arial"/>
          <w:lang w:val="en-GB"/>
        </w:rPr>
        <w:t xml:space="preserve">¿Se toman </w:t>
      </w:r>
      <w:proofErr w:type="spellStart"/>
      <w:r>
        <w:rPr>
          <w:rFonts w:ascii="Arial" w:hAnsi="Arial" w:cs="Arial"/>
          <w:lang w:val="en-GB"/>
        </w:rPr>
        <w:t>decisiones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transparentes</w:t>
      </w:r>
      <w:proofErr w:type="spellEnd"/>
      <w:r>
        <w:rPr>
          <w:rFonts w:ascii="Arial" w:hAnsi="Arial" w:cs="Arial"/>
          <w:lang w:val="en-GB"/>
        </w:rPr>
        <w:t xml:space="preserve">? </w:t>
      </w:r>
    </w:p>
    <w:p w14:paraId="02CC4A58" w14:textId="77777777" w:rsidR="00DC3541" w:rsidRPr="004E3D16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Confianza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¿Existe una comunicación abierta en los GPO? ¿La cooperación se basa en la confianza? </w:t>
      </w:r>
      <w:r w:rsidRPr="004E3D16">
        <w:rPr>
          <w:rFonts w:ascii="Arial" w:hAnsi="Arial" w:cs="Arial"/>
          <w:lang w:val="es-VE"/>
        </w:rPr>
        <w:br/>
      </w:r>
    </w:p>
    <w:p w14:paraId="724CCEE2" w14:textId="77777777" w:rsidR="00DC3541" w:rsidRPr="004E3D16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Compromiso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¿Trabajan los miembros de la OG motivados y comprometidos en la realización del proyecto de innovación? </w:t>
      </w:r>
      <w:r w:rsidRPr="004E3D16">
        <w:rPr>
          <w:rFonts w:ascii="Arial" w:hAnsi="Arial" w:cs="Arial"/>
          <w:lang w:val="es-VE"/>
        </w:rPr>
        <w:br/>
      </w:r>
    </w:p>
    <w:p w14:paraId="07A9A7CC" w14:textId="77777777" w:rsidR="00DC3541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n-GB"/>
        </w:rPr>
      </w:pPr>
      <w:r w:rsidRPr="004E3D16">
        <w:rPr>
          <w:rFonts w:ascii="Arial" w:hAnsi="Arial" w:cs="Arial"/>
          <w:b/>
          <w:bCs/>
          <w:lang w:val="es-VE"/>
        </w:rPr>
        <w:t xml:space="preserve">Capacidad de "corregir el rumbo".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tematizan/analizan los puntos fuertes y débiles de la cooperación? </w:t>
      </w:r>
      <w:r>
        <w:rPr>
          <w:rFonts w:ascii="Arial" w:hAnsi="Arial" w:cs="Arial"/>
          <w:lang w:val="en-GB"/>
        </w:rPr>
        <w:t xml:space="preserve">¿Se realizan ajustes como consecuencia de ello? </w:t>
      </w:r>
      <w:r>
        <w:rPr>
          <w:rFonts w:ascii="Arial" w:hAnsi="Arial" w:cs="Arial"/>
          <w:lang w:val="en-GB"/>
        </w:rPr>
        <w:br/>
      </w:r>
    </w:p>
    <w:p w14:paraId="1296F2B0" w14:textId="77777777" w:rsidR="00DC3541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n-GB"/>
        </w:rPr>
      </w:pPr>
      <w:r w:rsidRPr="004E3D16">
        <w:rPr>
          <w:rFonts w:ascii="Arial" w:hAnsi="Arial" w:cs="Arial"/>
          <w:b/>
          <w:bCs/>
          <w:lang w:val="es-VE"/>
        </w:rPr>
        <w:t xml:space="preserve">Cultura de la innovación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utilizan los espacios abiertos creativos? </w:t>
      </w:r>
      <w:r>
        <w:rPr>
          <w:rFonts w:ascii="Arial" w:hAnsi="Arial" w:cs="Arial"/>
          <w:lang w:val="en-GB"/>
        </w:rPr>
        <w:t xml:space="preserve">¿Se ven los fracasos como oportunidades? </w:t>
      </w:r>
      <w:r>
        <w:rPr>
          <w:rFonts w:ascii="Arial" w:hAnsi="Arial" w:cs="Arial"/>
          <w:lang w:val="en-GB"/>
        </w:rPr>
        <w:br/>
      </w:r>
    </w:p>
    <w:p w14:paraId="43E8F88B" w14:textId="77777777" w:rsidR="00DC3541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n-GB"/>
        </w:rPr>
      </w:pPr>
      <w:r w:rsidRPr="004E3D16">
        <w:rPr>
          <w:rFonts w:ascii="Arial" w:hAnsi="Arial" w:cs="Arial"/>
          <w:b/>
          <w:bCs/>
          <w:lang w:val="es-VE"/>
        </w:rPr>
        <w:t xml:space="preserve">Competencias y composición </w:t>
      </w:r>
      <w:r w:rsidRPr="004E3D16">
        <w:rPr>
          <w:rFonts w:ascii="Arial" w:hAnsi="Arial" w:cs="Arial"/>
          <w:b/>
          <w:bCs/>
          <w:lang w:val="es-VE"/>
        </w:rPr>
        <w:br/>
      </w:r>
      <w:r w:rsidRPr="00402D74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¿Disponen los GPO de las competencias necesarias para realizar el proyecto de innovación? ¿Se complementan las competencias de los miembros del GDO? ¿Cómo se adquieren los conocimientos que faltan? </w:t>
      </w:r>
      <w:r>
        <w:rPr>
          <w:rFonts w:ascii="Arial" w:hAnsi="Arial" w:cs="Arial"/>
          <w:lang w:val="en-GB"/>
        </w:rPr>
        <w:t xml:space="preserve">¿Es </w:t>
      </w:r>
      <w:proofErr w:type="spellStart"/>
      <w:r>
        <w:rPr>
          <w:rFonts w:ascii="Arial" w:hAnsi="Arial" w:cs="Arial"/>
          <w:lang w:val="en-GB"/>
        </w:rPr>
        <w:t>necesario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modificar</w:t>
      </w:r>
      <w:proofErr w:type="spellEnd"/>
      <w:r>
        <w:rPr>
          <w:rFonts w:ascii="Arial" w:hAnsi="Arial" w:cs="Arial"/>
          <w:lang w:val="en-GB"/>
        </w:rPr>
        <w:t xml:space="preserve"> la composición de la OG? </w:t>
      </w:r>
      <w:r>
        <w:rPr>
          <w:rFonts w:ascii="Arial" w:hAnsi="Arial" w:cs="Arial"/>
          <w:lang w:val="en-GB"/>
        </w:rPr>
        <w:br/>
      </w:r>
    </w:p>
    <w:p w14:paraId="5B93C596" w14:textId="77777777" w:rsidR="00DC3541" w:rsidRPr="004E3D16" w:rsidRDefault="0000000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Naturaleza a largo plazo </w:t>
      </w:r>
      <w:r w:rsidRPr="004E3D16">
        <w:rPr>
          <w:rFonts w:ascii="Arial" w:hAnsi="Arial" w:cs="Arial"/>
          <w:b/>
          <w:bCs/>
          <w:lang w:val="es-VE"/>
        </w:rPr>
        <w:br/>
      </w:r>
      <w:r w:rsidRPr="006718C5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considera útil la cooperación a largo plazo de los miembros de la OG, más allá del proyecto de innovación?</w:t>
      </w:r>
    </w:p>
    <w:p w14:paraId="4F0FE435" w14:textId="77777777" w:rsidR="0079552B" w:rsidRPr="004E3D16" w:rsidRDefault="0079552B">
      <w:pPr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br w:type="page"/>
      </w:r>
    </w:p>
    <w:p w14:paraId="2FB2A17E" w14:textId="77777777" w:rsidR="00996725" w:rsidRPr="004E3D16" w:rsidRDefault="00996725" w:rsidP="00996725">
      <w:pPr>
        <w:rPr>
          <w:rFonts w:ascii="Arial" w:hAnsi="Arial" w:cs="Arial"/>
          <w:b/>
          <w:bCs/>
          <w:lang w:val="es-VE"/>
        </w:rPr>
      </w:pPr>
    </w:p>
    <w:p w14:paraId="72EA2940" w14:textId="77777777" w:rsidR="00DC3541" w:rsidRDefault="00000000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3. </w:t>
      </w:r>
      <w:proofErr w:type="spellStart"/>
      <w:r>
        <w:rPr>
          <w:rFonts w:ascii="Arial" w:hAnsi="Arial" w:cs="Arial"/>
          <w:b/>
          <w:bCs/>
          <w:lang w:val="en-GB"/>
        </w:rPr>
        <w:t>Gestión</w:t>
      </w:r>
      <w:proofErr w:type="spellEnd"/>
      <w:r>
        <w:rPr>
          <w:rFonts w:ascii="Arial" w:hAnsi="Arial" w:cs="Arial"/>
          <w:b/>
          <w:bCs/>
          <w:lang w:val="en-GB"/>
        </w:rPr>
        <w:t xml:space="preserve"> y </w:t>
      </w:r>
      <w:proofErr w:type="spellStart"/>
      <w:r>
        <w:rPr>
          <w:rFonts w:ascii="Arial" w:hAnsi="Arial" w:cs="Arial"/>
          <w:b/>
          <w:bCs/>
          <w:lang w:val="en-GB"/>
        </w:rPr>
        <w:t>cooperación</w:t>
      </w:r>
      <w:proofErr w:type="spellEnd"/>
      <w:r>
        <w:rPr>
          <w:rFonts w:ascii="Arial" w:hAnsi="Arial" w:cs="Arial"/>
          <w:b/>
          <w:bCs/>
          <w:lang w:val="en-GB"/>
        </w:rPr>
        <w:t xml:space="preserve"> exterior </w:t>
      </w:r>
    </w:p>
    <w:p w14:paraId="1C3D6B39" w14:textId="77777777" w:rsidR="00DC3541" w:rsidRPr="004E3D16" w:rsidRDefault="00000000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/>
          <w:bCs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Gestión/cooperación </w:t>
      </w:r>
      <w:r w:rsidRPr="004E3D16">
        <w:rPr>
          <w:rFonts w:ascii="Arial" w:hAnsi="Arial" w:cs="Arial"/>
          <w:b/>
          <w:bCs/>
          <w:lang w:val="es-VE"/>
        </w:rPr>
        <w:br/>
      </w:r>
      <w:r w:rsidRPr="006718C5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¿Hasta qué punto es eficaz la coordinación a través del socio principal? ¿Hay ámbitos en los que el socio principal necesita apoyo? </w:t>
      </w:r>
      <w:r w:rsidRPr="004E3D16">
        <w:rPr>
          <w:rFonts w:ascii="Arial" w:hAnsi="Arial" w:cs="Arial"/>
          <w:lang w:val="es-VE"/>
        </w:rPr>
        <w:br/>
      </w:r>
    </w:p>
    <w:p w14:paraId="7B471DA1" w14:textId="77777777" w:rsidR="00DC3541" w:rsidRPr="004E3D16" w:rsidRDefault="00000000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Cooperación exterior </w:t>
      </w:r>
      <w:r w:rsidRPr="004E3D16">
        <w:rPr>
          <w:rFonts w:ascii="Arial" w:hAnsi="Arial" w:cs="Arial"/>
          <w:b/>
          <w:bCs/>
          <w:lang w:val="es-VE"/>
        </w:rPr>
        <w:br/>
      </w:r>
      <w:r w:rsidRPr="006718C5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¿Cómo se integra el proyecto en la red EIP? ¿Existe un intercambio de información con proyectos de innovación comparables? ¿Se tienen en cuenta los resultados de los grupos focales a escala de la UE? ¿Se comunican de forma práctica los resultados provisionales y finales y los usos potenciales del proyecto de innovación y se integran en las redes de la AEI a nivel estatal, federal y de la UE? ¿Existen contactos regulares con proveedores de servicios de innovación o centros de creación de redes? </w:t>
      </w:r>
      <w:r w:rsidRPr="004E3D16">
        <w:rPr>
          <w:rFonts w:ascii="Arial" w:hAnsi="Arial" w:cs="Arial"/>
          <w:lang w:val="es-VE"/>
        </w:rPr>
        <w:br/>
      </w:r>
    </w:p>
    <w:p w14:paraId="7248A4F8" w14:textId="77777777" w:rsidR="00DC3541" w:rsidRPr="004E3D16" w:rsidRDefault="00000000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lang w:val="es-VE"/>
        </w:rPr>
      </w:pPr>
      <w:r w:rsidRPr="004E3D16">
        <w:rPr>
          <w:rFonts w:ascii="Arial" w:hAnsi="Arial" w:cs="Arial"/>
          <w:b/>
          <w:bCs/>
          <w:lang w:val="es-VE"/>
        </w:rPr>
        <w:t xml:space="preserve">Imagen externa </w:t>
      </w:r>
      <w:r w:rsidRPr="004E3D16">
        <w:rPr>
          <w:rFonts w:ascii="Arial" w:hAnsi="Arial" w:cs="Arial"/>
          <w:b/>
          <w:bCs/>
          <w:lang w:val="es-VE"/>
        </w:rPr>
        <w:br/>
      </w:r>
      <w:r w:rsidRPr="006718C5">
        <w:rPr>
          <w:rFonts w:ascii="Arial" w:hAnsi="Arial" w:cs="Arial"/>
          <w:b/>
          <w:bCs/>
          <w:lang w:val="en-GB"/>
        </w:rPr>
        <w:sym w:font="Wingdings" w:char="F0E0"/>
      </w:r>
      <w:r w:rsidRPr="004E3D16">
        <w:rPr>
          <w:rFonts w:ascii="Arial" w:hAnsi="Arial" w:cs="Arial"/>
          <w:lang w:val="es-VE"/>
        </w:rPr>
        <w:t xml:space="preserve"> ¿Se presentan al público los resultados provisionales y finales (presencia de la OG en Internet, conferencias, etc.)? </w:t>
      </w:r>
    </w:p>
    <w:p w14:paraId="4F315586" w14:textId="0B73F6E4" w:rsidR="0079552B" w:rsidRPr="004E3D16" w:rsidRDefault="0079552B" w:rsidP="00504DC8">
      <w:pPr>
        <w:rPr>
          <w:lang w:val="es-VE"/>
        </w:rPr>
        <w:sectPr w:rsidR="0079552B" w:rsidRPr="004E3D16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1F40C9A" w14:textId="77777777" w:rsidR="00996725" w:rsidRPr="006F21D0" w:rsidRDefault="00996725" w:rsidP="00996725">
      <w:pPr>
        <w:rPr>
          <w:lang w:val="en-US"/>
        </w:rPr>
      </w:pPr>
    </w:p>
    <w:sectPr w:rsidR="00996725" w:rsidRPr="006F21D0" w:rsidSect="0079552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E2C2" w14:textId="77777777" w:rsidR="003A3FE2" w:rsidRDefault="003A3FE2" w:rsidP="007138D9">
      <w:pPr>
        <w:spacing w:after="0" w:line="240" w:lineRule="auto"/>
      </w:pPr>
      <w:r>
        <w:separator/>
      </w:r>
    </w:p>
  </w:endnote>
  <w:endnote w:type="continuationSeparator" w:id="0">
    <w:p w14:paraId="0A8FEE39" w14:textId="77777777" w:rsidR="003A3FE2" w:rsidRDefault="003A3FE2" w:rsidP="0071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DF34" w14:textId="77777777" w:rsidR="00DC3541" w:rsidRPr="004E3D16" w:rsidRDefault="00000000">
    <w:pPr>
      <w:pStyle w:val="Footer"/>
      <w:ind w:left="2832"/>
      <w:rPr>
        <w:color w:val="808080" w:themeColor="background1" w:themeShade="80"/>
        <w:sz w:val="15"/>
        <w:szCs w:val="15"/>
        <w:lang w:val="es-VE"/>
      </w:rPr>
    </w:pPr>
    <w:r w:rsidRPr="007138D9">
      <w:rPr>
        <w:noProof/>
        <w:sz w:val="15"/>
        <w:szCs w:val="15"/>
      </w:rPr>
      <w:drawing>
        <wp:anchor distT="0" distB="0" distL="114300" distR="114300" simplePos="0" relativeHeight="251658240" behindDoc="0" locked="0" layoutInCell="1" allowOverlap="1" wp14:anchorId="1731E1CF" wp14:editId="6FB08ACD">
          <wp:simplePos x="0" y="0"/>
          <wp:positionH relativeFrom="margin">
            <wp:align>left</wp:align>
          </wp:positionH>
          <wp:positionV relativeFrom="paragraph">
            <wp:posOffset>97790</wp:posOffset>
          </wp:positionV>
          <wp:extent cx="1731010" cy="361950"/>
          <wp:effectExtent l="0" t="0" r="0" b="0"/>
          <wp:wrapSquare wrapText="bothSides"/>
          <wp:docPr id="1179787663" name="Google Shape;21;p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oogle Shape;21;p35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35312" cy="36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D16">
      <w:rPr>
        <w:sz w:val="15"/>
        <w:szCs w:val="15"/>
        <w:lang w:val="es-VE"/>
      </w:rPr>
      <w:tab/>
    </w:r>
    <w:r w:rsidRPr="007138D9">
      <w:rPr>
        <w:color w:val="808080" w:themeColor="background1" w:themeShade="80"/>
        <w:sz w:val="15"/>
        <w:szCs w:val="15"/>
        <w:lang w:val="es-ES"/>
      </w:rPr>
      <w:t>Financiado por la Unión Europea. No obstante, los puntos de vista y opiniones expresados son exclusivamente los del autor o autores y no reflejan necesariamente los de la Unión Europea ni los de la Agencia Ejecutiva en el Ámbito Educativo y Cultural Europeo (EACEA). Ni la Unión Europea ni la EACEA pueden ser consideradas responsables de las mismas.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CABD" w14:textId="77777777" w:rsidR="003A3FE2" w:rsidRDefault="003A3FE2" w:rsidP="007138D9">
      <w:pPr>
        <w:spacing w:after="0" w:line="240" w:lineRule="auto"/>
      </w:pPr>
      <w:r>
        <w:separator/>
      </w:r>
    </w:p>
  </w:footnote>
  <w:footnote w:type="continuationSeparator" w:id="0">
    <w:p w14:paraId="298A10B1" w14:textId="77777777" w:rsidR="003A3FE2" w:rsidRDefault="003A3FE2" w:rsidP="0071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76FB" w14:textId="77777777" w:rsidR="007138D9" w:rsidRDefault="007138D9">
    <w:pPr>
      <w:pStyle w:val="Header"/>
    </w:pPr>
    <w:r w:rsidRPr="007138D9">
      <w:rPr>
        <w:noProof/>
      </w:rPr>
      <w:drawing>
        <wp:inline distT="0" distB="0" distL="0" distR="0" wp14:anchorId="1B2179DD" wp14:editId="6E4CE674">
          <wp:extent cx="1699200" cy="453600"/>
          <wp:effectExtent l="0" t="0" r="0" b="3810"/>
          <wp:docPr id="17877800" name="Google Shape;23;p3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16920" name="Google Shape;23;p35" descr="Ein Bild, das Text, Schrift, Grafiken, Grafikdesign enthält.&#10;&#10;Automatisch generierte Beschreibung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699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78A"/>
    <w:multiLevelType w:val="hybridMultilevel"/>
    <w:tmpl w:val="701C5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8F9"/>
    <w:multiLevelType w:val="hybridMultilevel"/>
    <w:tmpl w:val="C1C8D094"/>
    <w:lvl w:ilvl="0" w:tplc="0407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17EC5EE1"/>
    <w:multiLevelType w:val="hybridMultilevel"/>
    <w:tmpl w:val="6E9A9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786"/>
    <w:multiLevelType w:val="hybridMultilevel"/>
    <w:tmpl w:val="C190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1AC0"/>
    <w:multiLevelType w:val="hybridMultilevel"/>
    <w:tmpl w:val="E44CF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6435">
    <w:abstractNumId w:val="2"/>
  </w:num>
  <w:num w:numId="2" w16cid:durableId="865026157">
    <w:abstractNumId w:val="3"/>
  </w:num>
  <w:num w:numId="3" w16cid:durableId="1279484117">
    <w:abstractNumId w:val="1"/>
  </w:num>
  <w:num w:numId="4" w16cid:durableId="2092698064">
    <w:abstractNumId w:val="0"/>
  </w:num>
  <w:num w:numId="5" w16cid:durableId="23751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9"/>
    <w:rsid w:val="000D3CDF"/>
    <w:rsid w:val="003A3FE2"/>
    <w:rsid w:val="00415BD9"/>
    <w:rsid w:val="00417750"/>
    <w:rsid w:val="004E3D16"/>
    <w:rsid w:val="00504DC8"/>
    <w:rsid w:val="007138D9"/>
    <w:rsid w:val="0079552B"/>
    <w:rsid w:val="00996725"/>
    <w:rsid w:val="009F1493"/>
    <w:rsid w:val="00D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ADE6"/>
  <w15:chartTrackingRefBased/>
  <w15:docId w15:val="{D14E1DB6-A340-4462-85CD-C918C26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D9"/>
  </w:style>
  <w:style w:type="paragraph" w:styleId="Heading1">
    <w:name w:val="heading 1"/>
    <w:basedOn w:val="Normal"/>
    <w:next w:val="Normal"/>
    <w:link w:val="Heading1Char"/>
    <w:uiPriority w:val="9"/>
    <w:qFormat/>
    <w:rsid w:val="0041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D9"/>
    <w:rPr>
      <w:rFonts w:asciiTheme="majorHAnsi" w:eastAsiaTheme="majorEastAsia" w:hAnsiTheme="majorHAnsi" w:cstheme="majorBidi"/>
      <w:color w:val="0F4761" w:themeColor="accent1" w:themeShade="BF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D9"/>
    <w:rPr>
      <w:rFonts w:asciiTheme="majorHAnsi" w:eastAsiaTheme="majorEastAsia" w:hAnsiTheme="majorHAnsi" w:cstheme="majorBidi"/>
      <w:color w:val="0F4761" w:themeColor="accent1" w:themeShade="BF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D9"/>
    <w:rPr>
      <w:rFonts w:eastAsiaTheme="majorEastAsia" w:cstheme="majorBidi"/>
      <w:color w:val="0F4761" w:themeColor="accent1" w:themeShade="BF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415BD9"/>
    <w:rPr>
      <w:rFonts w:asciiTheme="majorHAnsi" w:eastAsiaTheme="majorEastAsia" w:hAnsiTheme="majorHAnsi" w:cstheme="majorBidi"/>
      <w:spacing w:val="-10"/>
      <w:kern w:val="28"/>
      <w:sz w:val="54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415BD9"/>
    <w:rPr>
      <w:rFonts w:eastAsiaTheme="majorEastAsia" w:cstheme="majorBidi"/>
      <w:color w:val="595959" w:themeColor="text1" w:themeTint="A6"/>
      <w:spacing w:val="15"/>
      <w:sz w:val="27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41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725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72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D9"/>
  </w:style>
  <w:style w:type="paragraph" w:styleId="Footer">
    <w:name w:val="footer"/>
    <w:basedOn w:val="Normal"/>
    <w:link w:val="FooterChar"/>
    <w:uiPriority w:val="99"/>
    <w:unhideWhenUsed/>
    <w:rsid w:val="0071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D9"/>
  </w:style>
  <w:style w:type="paragraph" w:styleId="NormalWeb">
    <w:name w:val="Normal (Web)"/>
    <w:basedOn w:val="Normal"/>
    <w:uiPriority w:val="99"/>
    <w:semiHidden/>
    <w:unhideWhenUsed/>
    <w:rsid w:val="0071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b.de/media/dokumente/dokumente-fuer-programme/dokumente-mit-programmzuordnung/wirtschaft/zuschuesse/europaeische-innovationspartnerschaft-eip-2024/informationsblatt-dvs-fuer_og_rl-eip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8B34-8FF7-4001-8BD6-C522B69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Bertisch</dc:creator>
  <cp:keywords>, docId:3D22DB58308822D3ACE1143323B91DBE</cp:keywords>
  <dc:description/>
  <cp:lastModifiedBy>Info onProjects</cp:lastModifiedBy>
  <cp:revision>2</cp:revision>
  <dcterms:created xsi:type="dcterms:W3CDTF">2025-02-04T11:08:00Z</dcterms:created>
  <dcterms:modified xsi:type="dcterms:W3CDTF">2025-02-04T11:08:00Z</dcterms:modified>
</cp:coreProperties>
</file>